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259" w:rsidRPr="001F6259" w:rsidRDefault="001F6259" w:rsidP="001F6259">
      <w:pPr>
        <w:tabs>
          <w:tab w:val="center" w:pos="4512"/>
        </w:tabs>
        <w:jc w:val="center"/>
        <w:rPr>
          <w:rFonts w:ascii="Times New Roman" w:hAnsi="Times New Roman"/>
          <w:b/>
          <w:sz w:val="24"/>
          <w:szCs w:val="24"/>
          <w:lang w:val="es-AR"/>
        </w:rPr>
      </w:pPr>
      <w:r w:rsidRPr="001F6259">
        <w:rPr>
          <w:rFonts w:ascii="Times New Roman" w:hAnsi="Times New Roman"/>
          <w:b/>
          <w:sz w:val="24"/>
          <w:szCs w:val="24"/>
          <w:lang w:val="es-AR"/>
        </w:rPr>
        <w:t>ANEXO V</w:t>
      </w:r>
    </w:p>
    <w:p w:rsidR="001F6259" w:rsidRPr="001F6259" w:rsidRDefault="001F6259" w:rsidP="001F6259">
      <w:pPr>
        <w:spacing w:before="60" w:after="60"/>
        <w:jc w:val="center"/>
        <w:rPr>
          <w:rFonts w:ascii="Times New Roman" w:hAnsi="Times New Roman"/>
          <w:b/>
          <w:sz w:val="24"/>
          <w:szCs w:val="24"/>
          <w:lang w:val="es-ES" w:eastAsia="es-ES"/>
        </w:rPr>
      </w:pPr>
      <w:r w:rsidRPr="001F6259">
        <w:rPr>
          <w:rFonts w:ascii="Times New Roman" w:hAnsi="Times New Roman"/>
          <w:b/>
          <w:sz w:val="24"/>
          <w:szCs w:val="24"/>
          <w:lang w:val="es-ES" w:eastAsia="es-ES"/>
        </w:rPr>
        <w:t>Elegibilidad para el suministro de bienes, la constr</w:t>
      </w:r>
      <w:r>
        <w:rPr>
          <w:rFonts w:ascii="Times New Roman" w:hAnsi="Times New Roman"/>
          <w:b/>
          <w:sz w:val="24"/>
          <w:szCs w:val="24"/>
          <w:lang w:val="es-ES" w:eastAsia="es-ES"/>
        </w:rPr>
        <w:t xml:space="preserve">ucción de obras y la prestación </w:t>
      </w:r>
      <w:r w:rsidRPr="001F6259">
        <w:rPr>
          <w:rFonts w:ascii="Times New Roman" w:hAnsi="Times New Roman"/>
          <w:b/>
          <w:sz w:val="24"/>
          <w:szCs w:val="24"/>
          <w:lang w:val="es-ES" w:eastAsia="es-ES"/>
        </w:rPr>
        <w:t>de servicios en adquisiciones financiadas por el Banco</w:t>
      </w:r>
    </w:p>
    <w:p w:rsidR="001F6259" w:rsidRPr="001F6259" w:rsidRDefault="001F6259" w:rsidP="001F6259">
      <w:pPr>
        <w:spacing w:before="60" w:after="60"/>
        <w:jc w:val="both"/>
        <w:rPr>
          <w:rFonts w:ascii="Times New Roman" w:hAnsi="Times New Roman"/>
          <w:b/>
          <w:sz w:val="24"/>
          <w:szCs w:val="24"/>
          <w:lang w:val="es-ES" w:eastAsia="es-ES"/>
        </w:rPr>
      </w:pPr>
      <w:r w:rsidRPr="001F6259">
        <w:rPr>
          <w:rFonts w:ascii="Times New Roman" w:hAnsi="Times New Roman"/>
          <w:b/>
          <w:sz w:val="24"/>
          <w:szCs w:val="24"/>
          <w:lang w:val="es-ES" w:eastAsia="es-ES"/>
        </w:rPr>
        <w:t>Lista de países miembros cuando el financiamiento provenga del Banco Interamericano de Desarrollo:</w:t>
      </w:r>
    </w:p>
    <w:p w:rsidR="001F6259" w:rsidRPr="001F6259" w:rsidRDefault="001F6259" w:rsidP="001F6259">
      <w:pPr>
        <w:spacing w:before="60" w:after="60"/>
        <w:jc w:val="both"/>
        <w:rPr>
          <w:rFonts w:ascii="Times New Roman" w:hAnsi="Times New Roman"/>
          <w:i/>
          <w:iCs/>
          <w:color w:val="000000"/>
          <w:sz w:val="24"/>
          <w:szCs w:val="24"/>
          <w:lang w:val="es-ES" w:eastAsia="es-ES"/>
        </w:rPr>
      </w:pPr>
      <w:r w:rsidRPr="001F6259">
        <w:rPr>
          <w:rFonts w:ascii="Times New Roman" w:hAnsi="Times New Roman"/>
          <w:i/>
          <w:iCs/>
          <w:color w:val="000000"/>
          <w:sz w:val="24"/>
          <w:szCs w:val="24"/>
          <w:lang w:val="es-ES" w:eastAsia="es-ES"/>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rsidR="001F6259" w:rsidRPr="001F6259" w:rsidRDefault="001F6259" w:rsidP="001F6259">
      <w:pPr>
        <w:rPr>
          <w:rFonts w:ascii="Times New Roman" w:hAnsi="Times New Roman"/>
          <w:b/>
          <w:i/>
          <w:sz w:val="24"/>
          <w:szCs w:val="24"/>
          <w:lang w:eastAsia="es-ES"/>
        </w:rPr>
      </w:pPr>
      <w:r w:rsidRPr="001F6259">
        <w:rPr>
          <w:rFonts w:ascii="Times New Roman" w:hAnsi="Times New Roman"/>
          <w:b/>
          <w:i/>
          <w:sz w:val="24"/>
          <w:szCs w:val="24"/>
          <w:lang w:eastAsia="es-ES"/>
        </w:rPr>
        <w:t>Territorios elegibles</w:t>
      </w:r>
    </w:p>
    <w:p w:rsidR="001F6259" w:rsidRPr="001F6259" w:rsidRDefault="001F6259" w:rsidP="001F6259">
      <w:pPr>
        <w:numPr>
          <w:ilvl w:val="0"/>
          <w:numId w:val="3"/>
        </w:numPr>
        <w:rPr>
          <w:rFonts w:ascii="Times New Roman" w:hAnsi="Times New Roman"/>
          <w:i/>
          <w:sz w:val="24"/>
          <w:szCs w:val="24"/>
          <w:lang w:eastAsia="es-ES"/>
        </w:rPr>
      </w:pPr>
      <w:r w:rsidRPr="001F6259">
        <w:rPr>
          <w:rFonts w:ascii="Times New Roman" w:hAnsi="Times New Roman"/>
          <w:i/>
          <w:sz w:val="24"/>
          <w:szCs w:val="24"/>
          <w:lang w:eastAsia="es-ES"/>
        </w:rPr>
        <w:t xml:space="preserve">Guadalupe, Guyana Francesa, Martinica, Reunión – por ser Departamentos de Francia. </w:t>
      </w:r>
    </w:p>
    <w:p w:rsidR="001F6259" w:rsidRPr="001F6259" w:rsidRDefault="001F6259" w:rsidP="001F6259">
      <w:pPr>
        <w:numPr>
          <w:ilvl w:val="0"/>
          <w:numId w:val="3"/>
        </w:numPr>
        <w:rPr>
          <w:rFonts w:ascii="Times New Roman" w:hAnsi="Times New Roman"/>
          <w:i/>
          <w:sz w:val="24"/>
          <w:szCs w:val="24"/>
          <w:lang w:eastAsia="es-ES"/>
        </w:rPr>
      </w:pPr>
      <w:r w:rsidRPr="001F6259">
        <w:rPr>
          <w:rFonts w:ascii="Times New Roman" w:hAnsi="Times New Roman"/>
          <w:i/>
          <w:sz w:val="24"/>
          <w:szCs w:val="24"/>
          <w:lang w:eastAsia="es-ES"/>
        </w:rPr>
        <w:t>Islas Vírgenes Estadounidenses, Puerto Rico, Guam – por ser Territorios de los Estados Unidos de América.</w:t>
      </w:r>
    </w:p>
    <w:p w:rsidR="001F6259" w:rsidRPr="001F6259" w:rsidRDefault="001F6259" w:rsidP="001F6259">
      <w:pPr>
        <w:numPr>
          <w:ilvl w:val="0"/>
          <w:numId w:val="3"/>
        </w:numPr>
        <w:rPr>
          <w:rFonts w:ascii="Times New Roman" w:hAnsi="Times New Roman"/>
          <w:i/>
          <w:sz w:val="24"/>
          <w:szCs w:val="24"/>
          <w:lang w:eastAsia="es-ES"/>
        </w:rPr>
      </w:pPr>
      <w:r w:rsidRPr="001F6259">
        <w:rPr>
          <w:rFonts w:ascii="Times New Roman" w:hAnsi="Times New Roman"/>
          <w:i/>
          <w:sz w:val="24"/>
          <w:szCs w:val="24"/>
          <w:lang w:eastAsia="es-ES"/>
        </w:rPr>
        <w:t xml:space="preserve">Aruba – por ser País Constituyente del Reino de los Países Bajos; y </w:t>
      </w:r>
      <w:proofErr w:type="spellStart"/>
      <w:r w:rsidRPr="001F6259">
        <w:rPr>
          <w:rFonts w:ascii="Times New Roman" w:hAnsi="Times New Roman"/>
          <w:i/>
          <w:sz w:val="24"/>
          <w:szCs w:val="24"/>
          <w:lang w:eastAsia="es-ES"/>
        </w:rPr>
        <w:t>Bonaire</w:t>
      </w:r>
      <w:proofErr w:type="spellEnd"/>
      <w:r w:rsidRPr="001F6259">
        <w:rPr>
          <w:rFonts w:ascii="Times New Roman" w:hAnsi="Times New Roman"/>
          <w:i/>
          <w:sz w:val="24"/>
          <w:szCs w:val="24"/>
          <w:lang w:eastAsia="es-ES"/>
        </w:rPr>
        <w:t xml:space="preserve">, Curazao, Sint Maarten, Sint </w:t>
      </w:r>
      <w:proofErr w:type="spellStart"/>
      <w:r w:rsidRPr="001F6259">
        <w:rPr>
          <w:rFonts w:ascii="Times New Roman" w:hAnsi="Times New Roman"/>
          <w:i/>
          <w:sz w:val="24"/>
          <w:szCs w:val="24"/>
          <w:lang w:eastAsia="es-ES"/>
        </w:rPr>
        <w:t>Eustatius</w:t>
      </w:r>
      <w:proofErr w:type="spellEnd"/>
      <w:r w:rsidRPr="001F6259">
        <w:rPr>
          <w:rFonts w:ascii="Times New Roman" w:hAnsi="Times New Roman"/>
          <w:i/>
          <w:sz w:val="24"/>
          <w:szCs w:val="24"/>
          <w:lang w:eastAsia="es-ES"/>
        </w:rPr>
        <w:t xml:space="preserve"> – por ser Departamentos de Reino de los Países Bajos.</w:t>
      </w:r>
    </w:p>
    <w:p w:rsidR="001F6259" w:rsidRPr="001F6259" w:rsidRDefault="001F6259" w:rsidP="001F6259">
      <w:pPr>
        <w:numPr>
          <w:ilvl w:val="0"/>
          <w:numId w:val="3"/>
        </w:numPr>
        <w:rPr>
          <w:rFonts w:ascii="Times New Roman" w:hAnsi="Times New Roman"/>
          <w:i/>
          <w:sz w:val="24"/>
          <w:szCs w:val="24"/>
          <w:lang w:eastAsia="es-ES"/>
        </w:rPr>
      </w:pPr>
      <w:r w:rsidRPr="001F6259">
        <w:rPr>
          <w:rFonts w:ascii="Times New Roman" w:hAnsi="Times New Roman"/>
          <w:i/>
          <w:sz w:val="24"/>
          <w:szCs w:val="24"/>
          <w:lang w:eastAsia="es-ES"/>
        </w:rPr>
        <w:t>Hong Kong – por ser Región Especial Administrativa de la República Popular de China.</w:t>
      </w:r>
    </w:p>
    <w:p w:rsidR="001F6259" w:rsidRPr="001F6259" w:rsidRDefault="001F6259" w:rsidP="001F6259">
      <w:pPr>
        <w:rPr>
          <w:rFonts w:ascii="Times New Roman" w:hAnsi="Times New Roman"/>
          <w:iCs/>
          <w:color w:val="000000"/>
          <w:sz w:val="24"/>
          <w:szCs w:val="24"/>
          <w:lang w:eastAsia="es-ES"/>
        </w:rPr>
      </w:pPr>
    </w:p>
    <w:p w:rsidR="001F6259" w:rsidRPr="001F6259" w:rsidRDefault="001F6259" w:rsidP="001F6259">
      <w:pPr>
        <w:spacing w:before="60" w:after="60"/>
        <w:jc w:val="both"/>
        <w:rPr>
          <w:rFonts w:ascii="Times New Roman" w:hAnsi="Times New Roman"/>
          <w:b/>
          <w:sz w:val="24"/>
          <w:szCs w:val="24"/>
          <w:lang w:val="es-ES" w:eastAsia="es-ES"/>
        </w:rPr>
      </w:pPr>
      <w:r w:rsidRPr="001F6259">
        <w:rPr>
          <w:rFonts w:ascii="Times New Roman" w:hAnsi="Times New Roman"/>
          <w:b/>
          <w:bCs/>
          <w:sz w:val="24"/>
          <w:szCs w:val="24"/>
          <w:lang w:val="es-ES" w:eastAsia="es-ES"/>
        </w:rPr>
        <w:t>Criterios para determinar Nacionalidad y el país de origen de los bienes y servicios</w:t>
      </w:r>
    </w:p>
    <w:p w:rsidR="001F6259" w:rsidRPr="001F6259" w:rsidRDefault="001F6259" w:rsidP="001F6259">
      <w:pPr>
        <w:spacing w:before="60" w:after="60"/>
        <w:jc w:val="both"/>
        <w:rPr>
          <w:rFonts w:ascii="Times New Roman" w:hAnsi="Times New Roman"/>
          <w:sz w:val="24"/>
          <w:szCs w:val="24"/>
          <w:lang w:val="es-ES" w:eastAsia="es-ES"/>
        </w:rPr>
      </w:pPr>
      <w:r w:rsidRPr="001F6259">
        <w:rPr>
          <w:rFonts w:ascii="Times New Roman" w:hAnsi="Times New Roman"/>
          <w:sz w:val="24"/>
          <w:szCs w:val="24"/>
          <w:lang w:val="es-ES" w:eastAsia="es-ES"/>
        </w:rPr>
        <w:t>Para efectuar la determinación sobre: a) la nacionalidad de las firmas e individuos elegibles para participar en contratos financiados por el Banco y b) el país de origen de los bienes y servicios, se utilizarán los siguientes criterios:</w:t>
      </w:r>
    </w:p>
    <w:p w:rsidR="001F6259" w:rsidRPr="001F6259" w:rsidRDefault="001F6259" w:rsidP="001F6259">
      <w:pPr>
        <w:spacing w:before="120" w:after="60"/>
        <w:jc w:val="both"/>
        <w:rPr>
          <w:rFonts w:ascii="Times New Roman" w:hAnsi="Times New Roman"/>
          <w:sz w:val="24"/>
          <w:szCs w:val="24"/>
          <w:lang w:val="es-ES" w:eastAsia="es-ES"/>
        </w:rPr>
      </w:pPr>
      <w:r w:rsidRPr="001F6259">
        <w:rPr>
          <w:rFonts w:ascii="Times New Roman" w:hAnsi="Times New Roman"/>
          <w:b/>
          <w:sz w:val="24"/>
          <w:szCs w:val="24"/>
          <w:u w:val="single"/>
          <w:lang w:val="es-ES" w:eastAsia="es-ES"/>
        </w:rPr>
        <w:t>A) Nacionalidad</w:t>
      </w:r>
    </w:p>
    <w:p w:rsidR="001F6259" w:rsidRPr="001F6259" w:rsidRDefault="001F6259" w:rsidP="001F6259">
      <w:pPr>
        <w:spacing w:before="60" w:after="60"/>
        <w:jc w:val="both"/>
        <w:rPr>
          <w:rFonts w:ascii="Times New Roman" w:hAnsi="Times New Roman"/>
          <w:sz w:val="24"/>
          <w:szCs w:val="24"/>
          <w:lang w:val="es-ES" w:eastAsia="es-ES"/>
        </w:rPr>
      </w:pPr>
      <w:r w:rsidRPr="001F6259">
        <w:rPr>
          <w:rFonts w:ascii="Times New Roman" w:hAnsi="Times New Roman"/>
          <w:bCs/>
          <w:sz w:val="24"/>
          <w:szCs w:val="24"/>
          <w:lang w:val="es-ES" w:eastAsia="es-ES"/>
        </w:rPr>
        <w:t>a)</w:t>
      </w:r>
      <w:r w:rsidRPr="001F6259">
        <w:rPr>
          <w:rFonts w:ascii="Times New Roman" w:hAnsi="Times New Roman"/>
          <w:b/>
          <w:sz w:val="24"/>
          <w:szCs w:val="24"/>
          <w:lang w:val="es-ES" w:eastAsia="es-ES"/>
        </w:rPr>
        <w:t xml:space="preserve"> Un individuo </w:t>
      </w:r>
      <w:r w:rsidRPr="001F6259">
        <w:rPr>
          <w:rFonts w:ascii="Times New Roman" w:hAnsi="Times New Roman"/>
          <w:bCs/>
          <w:sz w:val="24"/>
          <w:szCs w:val="24"/>
          <w:lang w:val="es-ES" w:eastAsia="es-ES"/>
        </w:rPr>
        <w:t>tiene la nacionalidad</w:t>
      </w:r>
      <w:r w:rsidRPr="001F6259">
        <w:rPr>
          <w:rFonts w:ascii="Times New Roman" w:hAnsi="Times New Roman"/>
          <w:sz w:val="24"/>
          <w:szCs w:val="24"/>
          <w:lang w:val="es-ES" w:eastAsia="es-ES"/>
        </w:rPr>
        <w:t xml:space="preserve"> de un país miembro del Banco si satisface uno de los siguientes requisitos:</w:t>
      </w:r>
    </w:p>
    <w:p w:rsidR="001F6259" w:rsidRPr="001F6259" w:rsidRDefault="001F6259" w:rsidP="001F6259">
      <w:pPr>
        <w:numPr>
          <w:ilvl w:val="1"/>
          <w:numId w:val="1"/>
        </w:numPr>
        <w:tabs>
          <w:tab w:val="num" w:pos="1800"/>
        </w:tabs>
        <w:spacing w:before="60" w:after="60"/>
        <w:ind w:left="1800"/>
        <w:jc w:val="both"/>
        <w:rPr>
          <w:rFonts w:ascii="Times New Roman" w:hAnsi="Times New Roman"/>
          <w:sz w:val="24"/>
          <w:szCs w:val="24"/>
          <w:lang w:val="es-ES" w:eastAsia="es-ES"/>
        </w:rPr>
      </w:pPr>
      <w:r w:rsidRPr="001F6259">
        <w:rPr>
          <w:rFonts w:ascii="Times New Roman" w:hAnsi="Times New Roman"/>
          <w:sz w:val="24"/>
          <w:szCs w:val="24"/>
          <w:lang w:val="es-ES" w:eastAsia="es-ES"/>
        </w:rPr>
        <w:t>es ciudadano de un país miembro; o</w:t>
      </w:r>
    </w:p>
    <w:p w:rsidR="001F6259" w:rsidRPr="001F6259" w:rsidRDefault="001F6259" w:rsidP="001F6259">
      <w:pPr>
        <w:numPr>
          <w:ilvl w:val="1"/>
          <w:numId w:val="1"/>
        </w:numPr>
        <w:tabs>
          <w:tab w:val="num" w:pos="1800"/>
        </w:tabs>
        <w:spacing w:before="60" w:after="60"/>
        <w:ind w:left="1800"/>
        <w:jc w:val="both"/>
        <w:rPr>
          <w:rFonts w:ascii="Times New Roman" w:hAnsi="Times New Roman"/>
          <w:sz w:val="24"/>
          <w:szCs w:val="24"/>
          <w:lang w:val="es-ES" w:eastAsia="es-ES"/>
        </w:rPr>
      </w:pPr>
      <w:r w:rsidRPr="001F6259">
        <w:rPr>
          <w:rFonts w:ascii="Times New Roman" w:hAnsi="Times New Roman"/>
          <w:sz w:val="24"/>
          <w:szCs w:val="24"/>
          <w:lang w:val="es-ES" w:eastAsia="es-ES"/>
        </w:rPr>
        <w:t>ha establecido su domicilio en un país miembro como residente “bona fide” y está legalmente autorizado para trabajar en dicho país.</w:t>
      </w:r>
    </w:p>
    <w:p w:rsidR="001F6259" w:rsidRPr="001F6259" w:rsidRDefault="001F6259" w:rsidP="001F6259">
      <w:pPr>
        <w:spacing w:before="60" w:after="60"/>
        <w:jc w:val="both"/>
        <w:rPr>
          <w:rFonts w:ascii="Times New Roman" w:hAnsi="Times New Roman"/>
          <w:sz w:val="24"/>
          <w:szCs w:val="24"/>
          <w:lang w:val="es-ES" w:eastAsia="es-ES"/>
        </w:rPr>
      </w:pPr>
      <w:r w:rsidRPr="001F6259">
        <w:rPr>
          <w:rFonts w:ascii="Times New Roman" w:hAnsi="Times New Roman"/>
          <w:bCs/>
          <w:sz w:val="24"/>
          <w:szCs w:val="24"/>
          <w:lang w:val="es-ES" w:eastAsia="es-ES"/>
        </w:rPr>
        <w:t>b)</w:t>
      </w:r>
      <w:r w:rsidRPr="001F6259">
        <w:rPr>
          <w:rFonts w:ascii="Times New Roman" w:hAnsi="Times New Roman"/>
          <w:b/>
          <w:sz w:val="24"/>
          <w:szCs w:val="24"/>
          <w:lang w:val="es-ES" w:eastAsia="es-ES"/>
        </w:rPr>
        <w:t xml:space="preserve"> Una firma </w:t>
      </w:r>
      <w:r w:rsidRPr="001F6259">
        <w:rPr>
          <w:rFonts w:ascii="Times New Roman" w:hAnsi="Times New Roman"/>
          <w:sz w:val="24"/>
          <w:szCs w:val="24"/>
          <w:lang w:val="es-ES" w:eastAsia="es-ES"/>
        </w:rPr>
        <w:t>tiene la nacionalidad de un país miembro si satisface los dos siguientes requisitos:</w:t>
      </w:r>
    </w:p>
    <w:p w:rsidR="001F6259" w:rsidRPr="001F6259" w:rsidRDefault="001F6259" w:rsidP="001F6259">
      <w:pPr>
        <w:numPr>
          <w:ilvl w:val="0"/>
          <w:numId w:val="2"/>
        </w:numPr>
        <w:spacing w:before="60" w:after="60"/>
        <w:jc w:val="both"/>
        <w:rPr>
          <w:rFonts w:ascii="Times New Roman" w:hAnsi="Times New Roman"/>
          <w:sz w:val="24"/>
          <w:szCs w:val="24"/>
          <w:lang w:val="es-ES" w:eastAsia="es-ES"/>
        </w:rPr>
      </w:pPr>
      <w:r w:rsidRPr="001F6259">
        <w:rPr>
          <w:rFonts w:ascii="Times New Roman" w:hAnsi="Times New Roman"/>
          <w:sz w:val="24"/>
          <w:szCs w:val="24"/>
          <w:lang w:val="es-ES" w:eastAsia="es-ES"/>
        </w:rPr>
        <w:t>esta legalmente constituida o incorporada conforme a las leyes de un país miembro del Banco; y</w:t>
      </w:r>
    </w:p>
    <w:p w:rsidR="001F6259" w:rsidRPr="001F6259" w:rsidRDefault="001F6259" w:rsidP="001F6259">
      <w:pPr>
        <w:numPr>
          <w:ilvl w:val="0"/>
          <w:numId w:val="2"/>
        </w:numPr>
        <w:spacing w:before="60" w:after="60"/>
        <w:jc w:val="both"/>
        <w:rPr>
          <w:rFonts w:ascii="Times New Roman" w:hAnsi="Times New Roman"/>
          <w:sz w:val="24"/>
          <w:szCs w:val="24"/>
          <w:lang w:val="es-ES" w:eastAsia="es-ES"/>
        </w:rPr>
      </w:pPr>
      <w:r w:rsidRPr="001F6259">
        <w:rPr>
          <w:rFonts w:ascii="Times New Roman" w:hAnsi="Times New Roman"/>
          <w:sz w:val="24"/>
          <w:szCs w:val="24"/>
          <w:lang w:val="es-ES" w:eastAsia="es-ES"/>
        </w:rPr>
        <w:t>más del cincuenta por ciento (50%) del capital de la firma es de propiedad de individuos o firmas de países miembros del Banco.</w:t>
      </w:r>
    </w:p>
    <w:p w:rsidR="001F6259" w:rsidRPr="001F6259" w:rsidRDefault="001F6259" w:rsidP="001F6259">
      <w:pPr>
        <w:spacing w:before="60" w:after="60"/>
        <w:jc w:val="both"/>
        <w:rPr>
          <w:rFonts w:ascii="Times New Roman" w:hAnsi="Times New Roman"/>
          <w:sz w:val="24"/>
          <w:szCs w:val="24"/>
          <w:lang w:val="es-ES" w:eastAsia="es-ES"/>
        </w:rPr>
      </w:pPr>
      <w:r w:rsidRPr="001F6259">
        <w:rPr>
          <w:rFonts w:ascii="Times New Roman" w:hAnsi="Times New Roman"/>
          <w:sz w:val="24"/>
          <w:szCs w:val="24"/>
          <w:lang w:val="es-ES" w:eastAsia="es-ES"/>
        </w:rPr>
        <w:t>Todos los socios de una asociación en participación, consorcio o asociación (APCA) con responsabilidad mancomunada y solidaria y todos los subcontratistas deben cumplir con los requisitos arriba establecidos.</w:t>
      </w:r>
    </w:p>
    <w:p w:rsidR="001F6259" w:rsidRPr="001F6259" w:rsidRDefault="001F6259" w:rsidP="001F6259">
      <w:pPr>
        <w:spacing w:before="120" w:after="60"/>
        <w:jc w:val="both"/>
        <w:rPr>
          <w:rFonts w:ascii="Times New Roman" w:hAnsi="Times New Roman"/>
          <w:b/>
          <w:sz w:val="24"/>
          <w:szCs w:val="24"/>
          <w:u w:val="single"/>
          <w:lang w:val="es-ES" w:eastAsia="es-ES"/>
        </w:rPr>
      </w:pPr>
      <w:r w:rsidRPr="001F6259">
        <w:rPr>
          <w:rFonts w:ascii="Times New Roman" w:hAnsi="Times New Roman"/>
          <w:b/>
          <w:sz w:val="24"/>
          <w:szCs w:val="24"/>
          <w:u w:val="single"/>
          <w:lang w:val="es-ES" w:eastAsia="es-ES"/>
        </w:rPr>
        <w:t>B) Origen de los Bienes</w:t>
      </w:r>
    </w:p>
    <w:p w:rsidR="001F6259" w:rsidRPr="001F6259" w:rsidRDefault="001F6259" w:rsidP="001F6259">
      <w:pPr>
        <w:spacing w:before="60" w:after="60"/>
        <w:jc w:val="both"/>
        <w:rPr>
          <w:rFonts w:ascii="Times New Roman" w:hAnsi="Times New Roman"/>
          <w:sz w:val="24"/>
          <w:szCs w:val="24"/>
          <w:lang w:val="es-ES" w:eastAsia="es-ES"/>
        </w:rPr>
      </w:pPr>
      <w:r w:rsidRPr="001F6259">
        <w:rPr>
          <w:rFonts w:ascii="Times New Roman" w:hAnsi="Times New Roman"/>
          <w:sz w:val="24"/>
          <w:szCs w:val="24"/>
          <w:lang w:val="es-ES" w:eastAsia="es-ES"/>
        </w:rPr>
        <w:t xml:space="preserve">Los bienes se originan en un país miembro del Banco si han sido extraídos, cultivados, cosechados o producidos en un país miembro del Banco.  Un bien es producido cuando mediante manufactura, procesamiento o ensamblaje el resultado es un artículo </w:t>
      </w:r>
      <w:r w:rsidRPr="001F6259">
        <w:rPr>
          <w:rFonts w:ascii="Times New Roman" w:hAnsi="Times New Roman"/>
          <w:sz w:val="24"/>
          <w:szCs w:val="24"/>
          <w:lang w:val="es-ES" w:eastAsia="es-ES"/>
        </w:rPr>
        <w:lastRenderedPageBreak/>
        <w:t>comercialmente reconocido cuyas características básicas, su función o propósito de uso son substancialmente diferentes de sus partes o componentes.</w:t>
      </w:r>
    </w:p>
    <w:p w:rsidR="001F6259" w:rsidRPr="001F6259" w:rsidRDefault="001F6259" w:rsidP="001F6259">
      <w:pPr>
        <w:spacing w:before="60" w:after="60"/>
        <w:jc w:val="both"/>
        <w:rPr>
          <w:rFonts w:ascii="Times New Roman" w:hAnsi="Times New Roman"/>
          <w:sz w:val="24"/>
          <w:szCs w:val="24"/>
          <w:lang w:val="es-ES" w:eastAsia="es-ES"/>
        </w:rPr>
      </w:pPr>
      <w:r w:rsidRPr="001F6259">
        <w:rPr>
          <w:rFonts w:ascii="Times New Roman" w:hAnsi="Times New Roman"/>
          <w:sz w:val="24"/>
          <w:szCs w:val="24"/>
          <w:lang w:val="es-ES" w:eastAsia="es-ES"/>
        </w:rPr>
        <w:t>En el caso de un bien que consiste de varios componentes individuales que requieren interconectarse (lo que puede ser ejecutado por el suministrador, el Contratante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Contratante.</w:t>
      </w:r>
    </w:p>
    <w:p w:rsidR="001F6259" w:rsidRPr="001F6259" w:rsidRDefault="001F6259" w:rsidP="001F6259">
      <w:pPr>
        <w:spacing w:before="60" w:after="60"/>
        <w:jc w:val="both"/>
        <w:rPr>
          <w:rFonts w:ascii="Times New Roman" w:hAnsi="Times New Roman"/>
          <w:sz w:val="24"/>
          <w:szCs w:val="24"/>
          <w:lang w:val="es-ES" w:eastAsia="es-ES"/>
        </w:rPr>
      </w:pPr>
      <w:r w:rsidRPr="001F6259">
        <w:rPr>
          <w:rFonts w:ascii="Times New Roman" w:hAnsi="Times New Roman"/>
          <w:sz w:val="24"/>
          <w:szCs w:val="24"/>
          <w:lang w:val="es-ES" w:eastAsia="es-ES"/>
        </w:rPr>
        <w:t>Para efectos de determinación del origen de los bienes identificados como “hecho en la Unión Europea”, estos serán elegibles sin necesidad de identificar el correspondiente país específico de la Unión Europea.</w:t>
      </w:r>
    </w:p>
    <w:p w:rsidR="001F6259" w:rsidRPr="001F6259" w:rsidRDefault="001F6259" w:rsidP="001F6259">
      <w:pPr>
        <w:spacing w:before="60" w:after="60"/>
        <w:jc w:val="both"/>
        <w:rPr>
          <w:rFonts w:ascii="Times New Roman" w:hAnsi="Times New Roman"/>
          <w:sz w:val="24"/>
          <w:szCs w:val="24"/>
          <w:lang w:val="es-ES" w:eastAsia="es-ES"/>
        </w:rPr>
      </w:pPr>
      <w:r w:rsidRPr="001F6259">
        <w:rPr>
          <w:rFonts w:ascii="Times New Roman" w:hAnsi="Times New Roman"/>
          <w:sz w:val="24"/>
          <w:szCs w:val="24"/>
          <w:lang w:val="es-ES" w:eastAsia="es-ES"/>
        </w:rPr>
        <w:t>El origen de los materiales, partes o componentes de los bienes o la nacionalidad de la firma productora, ensambladora, distribuidora o vendedora de los bienes no determina el origen de los mismos</w:t>
      </w:r>
    </w:p>
    <w:p w:rsidR="001F6259" w:rsidRPr="001F6259" w:rsidRDefault="001F6259" w:rsidP="001F6259">
      <w:pPr>
        <w:spacing w:before="60" w:after="60"/>
        <w:jc w:val="both"/>
        <w:rPr>
          <w:rFonts w:ascii="Times New Roman" w:hAnsi="Times New Roman"/>
          <w:sz w:val="24"/>
          <w:szCs w:val="24"/>
          <w:lang w:val="es-ES" w:eastAsia="es-ES"/>
        </w:rPr>
      </w:pPr>
    </w:p>
    <w:p w:rsidR="001F6259" w:rsidRPr="001F6259" w:rsidRDefault="001F6259" w:rsidP="001F6259">
      <w:pPr>
        <w:spacing w:before="60" w:after="60"/>
        <w:jc w:val="both"/>
        <w:rPr>
          <w:rFonts w:ascii="Times New Roman" w:hAnsi="Times New Roman"/>
          <w:b/>
          <w:sz w:val="24"/>
          <w:szCs w:val="24"/>
          <w:u w:val="single"/>
          <w:lang w:val="es-ES" w:eastAsia="es-ES"/>
        </w:rPr>
      </w:pPr>
      <w:r w:rsidRPr="001F6259">
        <w:rPr>
          <w:rFonts w:ascii="Times New Roman" w:hAnsi="Times New Roman"/>
          <w:b/>
          <w:sz w:val="24"/>
          <w:szCs w:val="24"/>
          <w:u w:val="single"/>
          <w:lang w:val="es-ES" w:eastAsia="es-ES"/>
        </w:rPr>
        <w:t>C) Origen de los Servicios</w:t>
      </w:r>
    </w:p>
    <w:p w:rsidR="001F6259" w:rsidRPr="001F6259" w:rsidRDefault="001F6259" w:rsidP="001F6259">
      <w:pPr>
        <w:spacing w:before="60" w:after="60"/>
        <w:jc w:val="both"/>
        <w:rPr>
          <w:rFonts w:ascii="Times New Roman" w:hAnsi="Times New Roman"/>
          <w:bCs/>
          <w:i/>
          <w:sz w:val="24"/>
          <w:szCs w:val="24"/>
          <w:lang w:val="es-ES" w:eastAsia="es-ES"/>
        </w:rPr>
      </w:pPr>
      <w:r w:rsidRPr="001F6259">
        <w:rPr>
          <w:rFonts w:ascii="Times New Roman" w:hAnsi="Times New Roman"/>
          <w:sz w:val="24"/>
          <w:szCs w:val="24"/>
          <w:lang w:val="es-ES" w:eastAsia="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rsidR="001F6259" w:rsidRPr="001F6259" w:rsidRDefault="001F6259" w:rsidP="001F6259">
      <w:pPr>
        <w:keepNext/>
        <w:jc w:val="center"/>
        <w:outlineLvl w:val="8"/>
        <w:rPr>
          <w:rFonts w:cs="Arial"/>
          <w:b/>
          <w:bCs/>
          <w:sz w:val="24"/>
          <w:szCs w:val="24"/>
          <w:lang w:val="es-ES" w:eastAsia="es-ES"/>
        </w:rPr>
      </w:pPr>
    </w:p>
    <w:p w:rsidR="001F6259" w:rsidRPr="001F6259" w:rsidRDefault="001F6259" w:rsidP="001F6259">
      <w:pPr>
        <w:rPr>
          <w:rFonts w:ascii="Times New Roman" w:hAnsi="Times New Roman"/>
          <w:b/>
          <w:sz w:val="24"/>
          <w:szCs w:val="24"/>
          <w:lang w:val="es-AR"/>
        </w:rPr>
      </w:pPr>
      <w:r w:rsidRPr="001F6259">
        <w:rPr>
          <w:rFonts w:ascii="Times New Roman" w:hAnsi="Times New Roman"/>
          <w:b/>
          <w:sz w:val="24"/>
          <w:szCs w:val="24"/>
          <w:lang w:val="es-AR"/>
        </w:rPr>
        <w:t xml:space="preserve">    </w:t>
      </w:r>
    </w:p>
    <w:p w:rsidR="001F6259" w:rsidRPr="001F6259" w:rsidRDefault="001F6259" w:rsidP="001F6259">
      <w:pPr>
        <w:rPr>
          <w:rFonts w:ascii="Times New Roman" w:hAnsi="Times New Roman"/>
          <w:b/>
          <w:sz w:val="24"/>
          <w:szCs w:val="24"/>
          <w:lang w:val="es-AR"/>
        </w:rPr>
      </w:pPr>
    </w:p>
    <w:p w:rsidR="008829F7" w:rsidRPr="001F6259" w:rsidRDefault="001F6259" w:rsidP="001F6259">
      <w:pPr>
        <w:rPr>
          <w:sz w:val="24"/>
          <w:szCs w:val="24"/>
        </w:rPr>
      </w:pPr>
      <w:r w:rsidRPr="001F6259">
        <w:rPr>
          <w:rFonts w:ascii="Times New Roman" w:hAnsi="Times New Roman"/>
          <w:sz w:val="24"/>
          <w:szCs w:val="24"/>
          <w:lang w:val="es-AR"/>
        </w:rPr>
        <w:br w:type="page"/>
      </w:r>
    </w:p>
    <w:sectPr w:rsidR="008829F7" w:rsidRPr="001F6259" w:rsidSect="00655FE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43D4417"/>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F6259"/>
    <w:rsid w:val="001F6259"/>
    <w:rsid w:val="00235CC3"/>
    <w:rsid w:val="00655FE6"/>
    <w:rsid w:val="00B77E2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259"/>
    <w:pPr>
      <w:spacing w:after="0" w:line="240" w:lineRule="auto"/>
    </w:pPr>
    <w:rPr>
      <w:rFonts w:ascii="Arial" w:eastAsia="Times New Roman" w:hAnsi="Arial" w:cs="Times New Roman"/>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3603</Characters>
  <Application>Microsoft Office Word</Application>
  <DocSecurity>0</DocSecurity>
  <Lines>30</Lines>
  <Paragraphs>8</Paragraphs>
  <ScaleCrop>false</ScaleCrop>
  <Company>.</Company>
  <LinksUpToDate>false</LinksUpToDate>
  <CharactersWithSpaces>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darona</dc:creator>
  <cp:keywords/>
  <dc:description/>
  <cp:lastModifiedBy>darona</cp:lastModifiedBy>
  <cp:revision>1</cp:revision>
  <dcterms:created xsi:type="dcterms:W3CDTF">2019-06-07T14:53:00Z</dcterms:created>
  <dcterms:modified xsi:type="dcterms:W3CDTF">2019-06-07T14:54:00Z</dcterms:modified>
</cp:coreProperties>
</file>